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Уважаемые граждане!</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Прокуратура Российской Федерации всегда стоит на защите Ваших прав и охраняемых законом интересов.</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Если Вы считаете, что Ваши права нарушены, прокуратура окажет Вам необходимую помощь.</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Прокуратура </w:t>
      </w:r>
      <w:r>
        <w:rPr>
          <w:rFonts w:ascii="Times New Roman" w:hAnsi="Times New Roman"/>
          <w:sz w:val="28"/>
          <w:szCs w:val="22"/>
        </w:rPr>
        <w:t>Кировского</w:t>
      </w:r>
      <w:r>
        <w:rPr>
          <w:rFonts w:ascii="Times New Roman" w:hAnsi="Times New Roman"/>
          <w:sz w:val="28"/>
          <w:szCs w:val="22"/>
        </w:rPr>
        <w:t xml:space="preserve"> района г. Иркутска </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находится по адресу: </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г. Иркутск, ул. </w:t>
      </w:r>
      <w:r>
        <w:rPr>
          <w:rFonts w:ascii="Times New Roman" w:hAnsi="Times New Roman"/>
          <w:sz w:val="28"/>
          <w:szCs w:val="22"/>
        </w:rPr>
        <w:t>Володарского, 5</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Телефон: (395-2) </w:t>
      </w:r>
      <w:r>
        <w:rPr>
          <w:rFonts w:ascii="Times New Roman" w:hAnsi="Times New Roman"/>
          <w:sz w:val="28"/>
          <w:szCs w:val="22"/>
        </w:rPr>
        <w:t>25</w:t>
      </w:r>
      <w:r>
        <w:rPr>
          <w:rFonts w:ascii="Times New Roman" w:hAnsi="Times New Roman"/>
          <w:sz w:val="28"/>
          <w:szCs w:val="22"/>
        </w:rPr>
        <w:t>-</w:t>
      </w:r>
      <w:r>
        <w:rPr>
          <w:rFonts w:ascii="Times New Roman" w:hAnsi="Times New Roman"/>
          <w:sz w:val="28"/>
          <w:szCs w:val="22"/>
        </w:rPr>
        <w:t>30</w:t>
      </w:r>
      <w:r>
        <w:rPr>
          <w:rFonts w:ascii="Times New Roman" w:hAnsi="Times New Roman"/>
          <w:sz w:val="28"/>
          <w:szCs w:val="22"/>
        </w:rPr>
        <w:t>-</w:t>
      </w:r>
      <w:r>
        <w:rPr>
          <w:rFonts w:ascii="Times New Roman" w:hAnsi="Times New Roman"/>
          <w:sz w:val="28"/>
          <w:szCs w:val="22"/>
        </w:rPr>
        <w:t>11</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ind w:right="142"/>
        <w:jc w:val="center"/>
        <w:rPr>
          <w:rFonts w:ascii="Times New Roman" w:hAnsi="Times New Roman"/>
          <w:sz w:val="28"/>
          <w:szCs w:val="22"/>
        </w:rPr>
      </w:pPr>
      <w:r>
        <w:rPr>
          <w:rFonts w:ascii="Times New Roman" w:hAnsi="Times New Roman"/>
          <w:sz w:val="28"/>
          <w:szCs w:val="22"/>
        </w:rPr>
        <w:t xml:space="preserve">Эл. почта: </w:t>
      </w:r>
      <w:r>
        <w:rPr>
          <w:rFonts w:ascii="Times New Roman" w:hAnsi="Times New Roman"/>
          <w:sz w:val="28"/>
          <w:szCs w:val="22"/>
        </w:rPr>
        <w:t>kirirk</w:t>
      </w:r>
      <w:r>
        <w:rPr>
          <w:rFonts w:ascii="Times New Roman" w:hAnsi="Times New Roman"/>
          <w:sz w:val="28"/>
          <w:szCs w:val="22"/>
        </w:rPr>
        <w:t>@38.mailop.ru</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t>Прокуратура Иркутской области</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t>Прокуратура Кировского района г.Иркутска</w:t>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rFonts w:ascii="Times New Roman" w:hAnsi="Times New Roman"/>
          <w:b/>
          <w:sz w:val="28"/>
          <w:szCs w:val="28"/>
        </w:rPr>
      </w:pPr>
      <w:r>
        <w:rPr>
          <w:rFonts w:ascii="Times New Roman" w:hAnsi="Times New Roman"/>
          <w:b/>
          <w:sz w:val="28"/>
          <w:szCs w:val="28"/>
        </w:rPr>
      </w:r>
    </w:p>
    <w:p>
      <w:pPr>
        <w:pStyle w:val="msonormalcxspmiddle"/>
        <w:pBdr>
          <w:top w:val="single" w:sz="4" w:space="0" w:color="FFFFFF"/>
          <w:left w:val="single" w:sz="4" w:space="0" w:color="FFFFFF"/>
          <w:bottom w:val="single" w:sz="4" w:space="31" w:color="FFFFFF"/>
          <w:right w:val="single" w:sz="4" w:space="4" w:color="FFFFFF"/>
        </w:pBdr>
        <w:spacing w:beforeAutospacing="0" w:before="0" w:afterAutospacing="0" w:after="0"/>
        <w:jc w:val="center"/>
        <w:rPr/>
      </w:pPr>
      <w:r>
        <w:rPr/>
      </w:r>
    </w:p>
    <w:p>
      <w:pPr>
        <w:pStyle w:val="Normal"/>
        <w:spacing w:lineRule="auto" w:line="240" w:before="0" w:after="0"/>
        <w:jc w:val="center"/>
        <w:rPr/>
      </w:pPr>
      <w:r>
        <w:rPr/>
        <w:drawing>
          <wp:inline distT="0" distB="0" distL="0" distR="0">
            <wp:extent cx="1228725" cy="1238250"/>
            <wp:effectExtent l="0" t="0" r="0" b="0"/>
            <wp:docPr id="1"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
                    <pic:cNvPicPr>
                      <a:picLocks noChangeAspect="1" noChangeArrowheads="1"/>
                    </pic:cNvPicPr>
                  </pic:nvPicPr>
                  <pic:blipFill>
                    <a:blip r:embed="rId2"/>
                    <a:stretch>
                      <a:fillRect/>
                    </a:stretch>
                  </pic:blipFill>
                  <pic:spPr bwMode="auto">
                    <a:xfrm>
                      <a:off x="0" y="0"/>
                      <a:ext cx="1228725" cy="1238250"/>
                    </a:xfrm>
                    <a:prstGeom prst="rect">
                      <a:avLst/>
                    </a:prstGeom>
                    <a:noFill/>
                  </pic:spPr>
                </pic:pic>
              </a:graphicData>
            </a:graphic>
          </wp:inline>
        </w:drawing>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cs="Times New Roman"/>
          <w:b/>
          <w:sz w:val="32"/>
          <w:szCs w:val="32"/>
        </w:rPr>
      </w:pPr>
      <w:bookmarkStart w:id="0" w:name="_Hlk208314263"/>
      <w:r>
        <w:rPr>
          <w:rFonts w:cs="Times New Roman" w:ascii="Times New Roman" w:hAnsi="Times New Roman"/>
          <w:b/>
          <w:sz w:val="32"/>
          <w:szCs w:val="32"/>
        </w:rPr>
        <w:t>«Каковы последствия получения «серой» зарплаты»</w:t>
      </w:r>
      <w:bookmarkEnd w:id="0"/>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Иркутск</w:t>
      </w:r>
    </w:p>
    <w:p>
      <w:pPr>
        <w:pStyle w:val="Normal"/>
        <w:spacing w:lineRule="auto" w:line="240" w:before="0" w:after="0"/>
        <w:jc w:val="center"/>
        <w:rPr>
          <w:rFonts w:ascii="Times New Roman" w:hAnsi="Times New Roman" w:cs="Times New Roman"/>
          <w:b/>
        </w:rPr>
      </w:pPr>
      <w:r>
        <w:rPr>
          <w:rFonts w:cs="Times New Roman" w:ascii="Times New Roman" w:hAnsi="Times New Roman"/>
          <w:b/>
          <w:sz w:val="28"/>
          <w:szCs w:val="28"/>
        </w:rPr>
        <w:t>2025 г</w:t>
      </w:r>
      <w:r>
        <w:rPr>
          <w:rFonts w:cs="Times New Roman" w:ascii="Times New Roman" w:hAnsi="Times New Roman"/>
          <w:b/>
        </w:rPr>
        <w:t>.</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«Серая зарплата» — это частично неофициальная оплата труда, при которой часть дохода отражается в официальных документах и с нее уплачиваются налоги и взносы, а остальная сумма выдается "в конверте" без какого-либо оформления. Данная практика прямо противоречит требованиям трудового и налогового законодательства Российской Федерации. Согласно статье 57 Трудового кодекса РФ, в трудовом договоре должны быть указаны условия оплаты труда, а статья 136 ТК РФ обязывает работодателя выплачивать заработную плату в полном объеме. Налоговый кодекс РФ (статья 226) возлагает на работодателя обязанность исчислять, удерживать и перечислять налог на доходы физических лиц (НДФЛ) со всех выплат работникам. Федеральный закон № 402 "О бухгалтерском учете" требует отражать все финансовые операции предприятия, включая выплаты сотрудникам.</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Получение "серой зарплаты" приводит к значительному снижению социальных гарантий для работника. Пенсионные баллы начисляются только с "белой" части зарплаты, что напрямую влияет на размер будущей пенсии. Размер пособий по временной нетрудоспособности, декретных выплат, отпускных и компенсаций при увольнении рассчитывается исключительно от официального заработка. Это означает, что при наступлении страхового случая работник получит значительно меньшие выплаты, чем при полностью официальной зарплате того же уровня. Кроме того, возникают трудности с получением кредитов и ипотеки, поскольку банки учитывают только доход, подтвержденный справкой по форме 2-НДФЛ. Невозможность в полном объеме воспользоваться налоговыми вычетами (при покупке недвижимости, получении медицинских услуг, образования) также является существенным недостатком "серой" схемы оплаты труда.</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Работник, соглашающийся на "серую зарплату", оказывается в положении юридической незащищенности. В случае конфликта с работодателем, особенно при невыплате "конвертной" части зарплаты, доказать ее существование в суде крайне сложно. Хотя судебная практика знает случаи, когда работникам удавалось взыскать невыплаченные суммы с использованием таких доказательств, как расписки, банковские выписки, скриншоты переписки в мессенджерах и даже аудио- и видеозаписи, процесс доказывания остается трудным и не всегда успешным. При банкротстве работодателя задолженность по "серой" части заработной платы не будет учтена в рамках процедуры банкротства, так как она не подтверждена документально.</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 xml:space="preserve">Важно отметить, что в случае получения дохода, с которого не был удержан НДФЛ работодателем-налоговым агентом, у работника возникает обязанность самостоятельно задекларировать такой доход и уплатить налог. Согласно Налоговому кодексу РФ, декларацию по форме 3-НДФЛ необходимо подать до 30 апреля года, следующего за годом получения дохода, а уплатить налог — до 15 июля. </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Работодатель, применяющий "серые" схемы оплаты труда, несет значительные налоговые риски. Согласно статье 123 НК РФ, за неисполнение обязанностей налогового агента (неудержание и не перечисление НДФЛ) предусмотрен штраф в размере 20% от суммы неудержанного и не перечисленного налога. Кроме того, налоговые органы вправе доначислить все неуплаченные налоги и взносы за последние три года, а также начислить пени за каждый день просрочки.</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Кодекс об административных правонарушениях РФ предусматривает серьезные санкции за нарушения в сфере оплаты труда. По статье 5.27 КоАП РФ, за нарушение трудового законодательства (включая неполную выплату зарплаты) работодателю грозит штраф: для должностных лиц — от 10 000 до 20 000 рублей, для индивидуальных предпринимателей — от 1 000 до 5 000 рублей, для юридических лиц — от 30 000 до 50 000 рублей. За повторное нарушение штрафы увеличиваются, а должностные лица могут быть дисквалифицированы на срок от одного года до трех лет.</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В случае крупных масштабов сокрытия налогов и взносов возможна уголовная ответственность работодателя. Статья 199.1 УК РФ предусматривает наказание за неуплату налогов в крупном размере (свыше 15 миллионов рублей за три года) в виде штрафа от 100 000 до 500 000 рублей, принудительных работ на срок до пяти лет или лишения свободы на срок до шести лет. Статья 145.1 УК РФ устанавливает ответственность за невыплату заработной платы свыше двух месяцев.</w:t>
      </w:r>
    </w:p>
    <w:p>
      <w:pPr>
        <w:pStyle w:val="Normal"/>
        <w:spacing w:lineRule="auto" w:line="240" w:before="0" w:after="0"/>
        <w:ind w:firstLine="709"/>
        <w:jc w:val="both"/>
        <w:rPr>
          <w:rFonts w:ascii="Times New Roman" w:hAnsi="Times New Roman" w:cs="Times New Roman"/>
        </w:rPr>
      </w:pPr>
      <w:r>
        <w:rPr>
          <w:rFonts w:cs="Times New Roman" w:ascii="Times New Roman" w:hAnsi="Times New Roman"/>
        </w:rPr>
        <w:t>Работнику, столкнувшемуся с практикой "серой зарплаты", рекомендуется предпринять следующие шаги для защиты своих прав: собрать все имеющиеся у него доказательства, обратиться в контролирующие органы: с жалобой на работодателя можно обратиться в Государственную инспекцию труда (ГИТ), Федеральную налоговую службу (ФНС) или прокуратуру, а также имеет право на обращение в суд: работник вправе подать в суд иск о взыскании невыплаченной заработной платы, компенсации за задержку выплат и компенсации морального вреда. Срок исковой давности по таким делам составляет один год.</w:t>
      </w:r>
    </w:p>
    <w:sectPr>
      <w:type w:val="continuous"/>
      <w:pgSz w:orient="landscape" w:w="16838" w:h="11906"/>
      <w:pgMar w:left="1133" w:right="1133" w:gutter="0" w:header="0" w:top="1133" w:footer="0" w:bottom="1133"/>
      <w:cols w:num="2" w:space="708" w:equalWidth="true" w:sep="false"/>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15"/>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unhideWhenUsed/>
    <w:qFormat/>
    <w:rPr/>
  </w:style>
  <w:style w:type="character" w:styleId="Hyperlink">
    <w:name w:val="Hyperlink"/>
    <w:basedOn w:val="DefaultParagraphFont"/>
    <w:uiPriority w:val="99"/>
    <w:unhideWhenUsed/>
    <w:rsid w:val="004a14dd"/>
    <w:rPr>
      <w:color w:themeColor="hyperlink" w:val="0563C1"/>
      <w:u w:val="single"/>
    </w:rPr>
  </w:style>
  <w:style w:type="paragraph" w:styleId="Style14">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5">
    <w:name w:val="Указатель"/>
    <w:basedOn w:val="Normal"/>
    <w:qFormat/>
    <w:pPr>
      <w:suppressLineNumbers/>
    </w:pPr>
    <w:rPr>
      <w:rFonts w:cs="Noto Sans"/>
    </w:rPr>
  </w:style>
  <w:style w:type="paragraph" w:styleId="msonormalcxspmiddle" w:customStyle="1">
    <w:name w:val="msonormalcxspmiddle"/>
    <w:basedOn w:val="Normal"/>
    <w:qFormat/>
    <w:rsid w:val="004a14dd"/>
    <w:pPr>
      <w:spacing w:lineRule="auto" w:line="240" w:beforeAutospacing="1" w:afterAutospacing="1"/>
    </w:pPr>
    <w:rPr>
      <w:rFonts w:ascii="Arial" w:hAnsi="Arial" w:eastAsia="Times New Roman" w:cs="Arial"/>
      <w:color w:val="000000"/>
      <w:sz w:val="20"/>
      <w:szCs w:val="20"/>
      <w:lang w:eastAsia="ru-RU"/>
    </w:rPr>
  </w:style>
  <w:style w:type="paragraph" w:styleId="ConsPlusNormal" w:customStyle="1">
    <w:name w:val="ConsPlusNormal"/>
    <w:qFormat/>
    <w:rsid w:val="00b33d5d"/>
    <w:pPr>
      <w:widowControl w:val="false"/>
      <w:bidi w:val="0"/>
      <w:spacing w:lineRule="auto" w:line="240" w:before="0" w:after="0"/>
      <w:jc w:val="left"/>
    </w:pPr>
    <w:rPr>
      <w:rFonts w:ascii="Times New Roman" w:hAnsi="Times New Roman" w:eastAsia="" w:cs="Times New Roman" w:eastAsiaTheme="minorEastAsia"/>
      <w:color w:val="auto"/>
      <w:kern w:val="0"/>
      <w:sz w:val="24"/>
      <w:szCs w:val="22"/>
      <w:lang w:eastAsia="ru-RU" w:val="ru-RU" w:bidi="ar-SA"/>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376CB-AFA2-4BB1-8D23-A10F815F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LibreOffice/24.8.7.2$Linux_X86_64 LibreOffice_project/480$Build-2</Application>
  <AppVersion>15.0000</AppVersion>
  <Pages>2</Pages>
  <Words>696</Words>
  <Characters>4549</Characters>
  <CharactersWithSpaces>5232</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2025-09-11T02:12:00Z</dcterms:created>
  <dc:creator>Заиграева Евгения Игоревна</dc:creator>
  <dc:description/>
  <dc:language>ru-RU</dc:language>
  <cp:lastModifiedBy/>
  <dcterms:modified xsi:type="dcterms:W3CDTF">2025-12-17T12:56:26Z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